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84" w:rsidRDefault="00636184" w:rsidP="00636184">
      <w:r w:rsidRPr="005D0B3D">
        <w:t xml:space="preserve">Cordyceps, Cordyceps sinensis, </w:t>
      </w:r>
      <w:r w:rsidRPr="005D0B3D">
        <w:rPr>
          <w:i/>
        </w:rPr>
        <w:t>łac. Ophiocordyceps sinensis</w:t>
      </w:r>
      <w:r w:rsidRPr="005D0B3D">
        <w:t>, Kordyceps chiński, Maczużnik chiński, Dong Chong Xia Cao</w:t>
      </w:r>
    </w:p>
    <w:p w:rsidR="00636184" w:rsidRDefault="00636184" w:rsidP="00636184"/>
    <w:p w:rsidR="00636184" w:rsidRDefault="00636184" w:rsidP="00636184">
      <w:r>
        <w:t>W Polsce znany pod nazwą Maczużnik chiński, rośnie na dużych wysokościach w Tybecie</w:t>
      </w:r>
      <w:r>
        <w:t xml:space="preserve"> i górach Nepalu</w:t>
      </w:r>
      <w:r>
        <w:t xml:space="preserve">. </w:t>
      </w:r>
      <w:r>
        <w:t xml:space="preserve"> W warunkach naturalnych występuje na wysokości 3000 m n.p.m. </w:t>
      </w:r>
      <w:r>
        <w:t>Żywi się gatunkiem gąsienic</w:t>
      </w:r>
      <w:r>
        <w:t xml:space="preserve"> z rodziny </w:t>
      </w:r>
      <w:r w:rsidRPr="00636184">
        <w:rPr>
          <w:i/>
        </w:rPr>
        <w:t>Thitarodes</w:t>
      </w:r>
      <w:r>
        <w:t xml:space="preserve">, atakując je w glebie i w miarę wzrostu zabija, w ten sposób tworząc maczugowaty owocnik. </w:t>
      </w:r>
      <w:r>
        <w:t xml:space="preserve">Zbiory zaczynają się w maju i czerwcu i trwają około 5 tygodni. Ponieważ grzyb mam wysoką wartość handlową jego siedliską są nadmiernie eksploatowane. Obecnie grzyb uzyskiwany jest również z anamorficznych grzybni hodowlanych  w bioreaktorach. Najwyżej cenione są szczepy  </w:t>
      </w:r>
      <w:r w:rsidRPr="00636184">
        <w:rPr>
          <w:i/>
        </w:rPr>
        <w:t>C. sinensis i C. militaris</w:t>
      </w:r>
      <w:r>
        <w:t xml:space="preserve"> ze względu na najwyższy poziom kordycypiny. Miarą jakości hodowlanych grzybów  i ekstraktów jest poziom adenozyny i kordycypiny, które to oznaczane są metodami chromatograficznymi i spektrofotometrycznymi. Przy komercyjnej hodowli uzyskuje się wysokie stężenia oby tych związków: </w:t>
      </w:r>
      <w:r w:rsidRPr="00636184">
        <w:t>adenozyna 1500-3700 (μg/g), kordycepina 100-4000 (μg/g)</w:t>
      </w:r>
      <w:r>
        <w:t>, pozostałe składniki to: polisacharydy, dysmutaza nadtlenkowa (SOD), D-mannitol, sterole, 16 aminokwasów, witaminy A,B,C,E oraz sk</w:t>
      </w:r>
      <w:r w:rsidR="0095573F">
        <w:t>ła</w:t>
      </w:r>
      <w:r>
        <w:t>dniki mineralne</w:t>
      </w:r>
      <w:r w:rsidR="00F124A8">
        <w:t>.</w:t>
      </w:r>
      <w:r w:rsidR="00D16E10">
        <w:t xml:space="preserve"> Zwiera również erogosterol blokujący aktywnoś</w:t>
      </w:r>
      <w:r w:rsidR="0043246A">
        <w:t>ć</w:t>
      </w:r>
      <w:r w:rsidR="00D16E10">
        <w:t xml:space="preserve"> limfocytów T </w:t>
      </w:r>
      <w:r w:rsidR="0043246A">
        <w:t xml:space="preserve">i mediatorów stanu zapalnego. Egzopolisachardy są odpowiedzialne za działanie immunomodulujące i przeciwzapalne a także blokują odpowiedx humoralną , cyklosporyny wykazują działanie immunosupresyjne.    </w:t>
      </w:r>
    </w:p>
    <w:p w:rsidR="00F124A8" w:rsidRPr="00636184" w:rsidRDefault="00F124A8" w:rsidP="00636184">
      <w:r>
        <w:t xml:space="preserve"> Uważa się, że składni aktywne tego grzyba włączają się w szlaki komunikacji komórkowej a również stymulują metabolizm i zwiększają liczbę cząsteczek ATP i cAMP.</w:t>
      </w:r>
    </w:p>
    <w:p w:rsidR="008D3C56" w:rsidRDefault="00636184" w:rsidP="0063618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t>Grzyb wykazuje właściwości immunomodulujące i jak wynika z badań pobudza makrofagi do aktywności.</w:t>
      </w:r>
      <w:r w:rsidR="008D3C56">
        <w:t xml:space="preserve"> Na modelu zwierzęcym zbadano aktywację wrodzonej odpowiedzi immunologicznej, czyli aktywacje czynników prozapalnych i makrofagów. Wyniki były pozytywne i jak wynika z badania używany w nim wodny ekstrakt z </w:t>
      </w:r>
      <w:r w:rsidR="008D3C56" w:rsidRPr="008D3C56">
        <w:rPr>
          <w:i/>
        </w:rPr>
        <w:t>Cordyceps sinensis</w:t>
      </w:r>
      <w:r w:rsidR="008D3C56">
        <w:t xml:space="preserve"> zaktywował makrofagi do produkcji cytokin. Inne badania wskazują na aktywacje makrofagów oraz uwalnianie mediatorów takich jak m.in. </w:t>
      </w:r>
      <w:r w:rsidR="008D3C56" w:rsidRPr="005D0B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TNF-α, IL-1, IL-12</w:t>
      </w:r>
      <w:r w:rsidR="008D3C5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azotu , proteaz i reaktywnych form tlenu. </w:t>
      </w:r>
      <w:r w:rsidR="008D6DE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Opisane zostało również ich działanie przeciwbakteryjne wobec gronkowca złocistego, może być ono wywołane wzrostem aktywności makrofagów fagocytujących oraz ekspresji cytokin. </w:t>
      </w:r>
    </w:p>
    <w:p w:rsidR="008D6DE0" w:rsidRPr="00681C97" w:rsidRDefault="008D6DE0" w:rsidP="0063618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C.sinensis wykazuje właściwości przeciwwirusowe. Dzieję się tak ponieważ większość bakterii i wirusów (w tym wirus HIV)  nie posiadają mechanizmów naprawy kwasów nukleinowych</w:t>
      </w:r>
      <w:r w:rsidR="006722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Występują</w:t>
      </w:r>
      <w:r w:rsidR="006722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 w grzybie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składnik aktywny kordycypina jest pochodną adenozyny. Ich cząsteczki są do siebie podobne i dlatego nie są rozróżniane przez enzymy. Kordycypina wchodzi w reakcję syntezy kwasów nukleinowych co powoduje przedwczesne zakończenie procesu syntezy.</w:t>
      </w:r>
      <w:r w:rsidR="0067226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 tym samym uszkadza komórkę po przez dezintegrację struktury. Podczas syntezy łańcucha RNA lub DAN cząsteczki kordycepiny zostają wbudowane w ten łańcuch, ale nie posiadają  tlenu w pozycji 3’ w cząsteczce rybozy co nie prowadzi do prawidłowej budowy DNA i RNA, które w tej niestabilnej postaci nie spełniają swoich funkcji. Nieprawidłowy nukleotyd uniemożliwia przeżycie komórce i jej dalszej prawidłowej replikacji. </w:t>
      </w:r>
    </w:p>
    <w:p w:rsidR="004D648D" w:rsidRDefault="00636184" w:rsidP="004D648D">
      <w:r w:rsidRPr="0032522C">
        <w:t>Adenozyna pełni rolę ochronną w przypadku niedotlenienia, niedokrwienia i stresu oksydacyjnego komórek – aktywuje kaskady odpowiednich enzymów i białek, np. dysmutazy nadtlenkowej.</w:t>
      </w:r>
      <w:r>
        <w:t xml:space="preserve">  Wspomaga syntezę ATP w mitochondriach czyli głównego motoru energetycznego komórki</w:t>
      </w:r>
      <w:r w:rsidR="00681C97">
        <w:t xml:space="preserve">. </w:t>
      </w:r>
      <w:r w:rsidR="005A431A">
        <w:t>Jak pow</w:t>
      </w:r>
      <w:r w:rsidR="004D648D">
        <w:t xml:space="preserve">szechnie wiadomo ATP pełni rolę w przekazywaniu sygnałów w neuronach. W układzie nerwowym adenozyna i jej pochodne prowadzą do zmniejszenia pobudliwości neuronów po przez hamowanie wydzielania neuroprzekaźników. Zjawisko aktywacji neuronów obserwuje się po uprzednim zablokowaniu ich aktywności. </w:t>
      </w:r>
      <w:r w:rsidR="004D648D">
        <w:t xml:space="preserve">Adenozyna pełni rolę ochronną w przypadku </w:t>
      </w:r>
      <w:r w:rsidR="004D648D">
        <w:lastRenderedPageBreak/>
        <w:t>niedotlenienia, niedokrwienia i stresu oksydacyjnego komórek – aktywuje kaskady odpowiednich enzymów i białek, np. dysmutazy nadtlenkowej.</w:t>
      </w:r>
    </w:p>
    <w:p w:rsidR="00C25117" w:rsidRDefault="004D648D" w:rsidP="004D648D">
      <w:r>
        <w:t xml:space="preserve">Zażywanie ekstraktów z </w:t>
      </w:r>
      <w:r w:rsidR="004A2597" w:rsidRPr="004A2597">
        <w:rPr>
          <w:i/>
        </w:rPr>
        <w:t xml:space="preserve">Cordycepsu </w:t>
      </w:r>
      <w:r w:rsidR="004A2597">
        <w:t>przynosi realne podniesienie odczuwalnego poziomu energii w przeciwieństwie do stymulatorów takich jak kofeina, efedryna czy amfetamina.</w:t>
      </w:r>
      <w:r w:rsidR="003F3568">
        <w:t xml:space="preserve"> Po pierwszej dawce Cordycepsy zazwyczaj występuje uczucie jasności umysłu</w:t>
      </w:r>
      <w:r w:rsidR="00B8158D">
        <w:t xml:space="preserve">, zwiększone odbieranie bodźców, umysł wydaje się czysty. Badania przeprowadzone na myszach potwierdzają również jego przeciwdepresyjne działanie. Badano zmęczenie, które jest ściśle powiązane ze stanami depresyjnymi i uzyskano pozytywne wyniki. Dawka jaką podawano to 2,5-10 mg/kg. Wyniki te sugerują, że Cordyceps wywołuje efekt podobny do działania leków przeciwdepresyjnych i prawdopodobnie oddziaływuje przez te same receptory błonowe.    </w:t>
      </w:r>
    </w:p>
    <w:p w:rsidR="00D16E10" w:rsidRDefault="00C25117" w:rsidP="004D648D">
      <w:r>
        <w:t xml:space="preserve">Cordyceps wykazuje również działanie przeciwnowotworowe. Czasopismo </w:t>
      </w:r>
      <w:r w:rsidRPr="00C25117">
        <w:t xml:space="preserve">„Cancer Immunology Immunotherapy” </w:t>
      </w:r>
      <w:r>
        <w:t xml:space="preserve"> w 2010 roku opublikowało wyniki badań dowodzące, że wyciąg z Cordycepsu hamował przerzuty do płuc u chorych na raka piersi. Zwiększyło to znacznie przeżywalność chorych</w:t>
      </w:r>
      <w:r w:rsidR="00D16E10">
        <w:t xml:space="preserve">. Co prawda nie hamowany był wzrost guza pierwotnego, ale kordycypina zahamowała przerzuty, które są również przyczyną śmierci pacjentów. </w:t>
      </w:r>
      <w:r w:rsidR="00D16E10" w:rsidRPr="00D16E10">
        <w:t>Oznacza to, że terapia zatrzymała rozprzestrzenianie się komórek nowotworowych. Przypuszcza się, że wzrost przeżywalności po podaniu ekstraktu z Cordyceps</w:t>
      </w:r>
      <w:r w:rsidR="00D16E10">
        <w:t>u</w:t>
      </w:r>
      <w:r w:rsidR="00D16E10" w:rsidRPr="00D16E10">
        <w:t xml:space="preserve"> nie jest wywołany cytotoksycznością wobec komórek nowotworowych, ale jest pewnego rodzaju odpowiedzią immunologiczną, która skutecznie hamuje inwazję tkanki nowotworowej</w:t>
      </w:r>
      <w:r w:rsidR="00D16E10">
        <w:t xml:space="preserve">. W innej pracy naukowej Wong i wsp. donoszą, że kordycypina hamuje niekontrolowany wzrost i podział komórek wówczas gdzy jest podawana w niskich dawkach , natomiast podawanie dużych dawek zapobiega gromadzeniu się komórek nowotworowych w jednym miejscu. Niskie dawki hamują powstawanie mRNA a wysokie blokują syntezę białek. </w:t>
      </w:r>
    </w:p>
    <w:p w:rsidR="00C25117" w:rsidRDefault="00D16E10" w:rsidP="004D648D">
      <w:r>
        <w:t xml:space="preserve"> W innym baniu prowadzonym przez </w:t>
      </w:r>
      <w:r w:rsidRPr="00D16E10">
        <w:t>Ohana G, Bar-Yehuda S, Barer F i wsp.</w:t>
      </w:r>
      <w:r>
        <w:t xml:space="preserve"> wykazano, że niskie stężenie kordycypiny powoduje zatrzymanie cyklu komórkowego a wysokie apoptozę (śmierć) komórek czerniaka i białaczki.  </w:t>
      </w:r>
    </w:p>
    <w:p w:rsidR="0043246A" w:rsidRDefault="0043246A" w:rsidP="004D648D">
      <w:r>
        <w:t>Cordyceps stosowany jest podczas infekcji bakterią Borrelii, Bartonellą oraz Mykoplazmą.</w:t>
      </w:r>
    </w:p>
    <w:p w:rsidR="0043246A" w:rsidRDefault="0043246A" w:rsidP="00636184">
      <w:r>
        <w:t xml:space="preserve">Liczna badania naukowe stwierdzają zastosowanie Cordycepsu przy hipoglikemii. Badania na zwierzętach potwierdzają wzrost wrażliwość na insulinę i aktywacje enzymów glukokinazy i eksokinazy w wątrobie. </w:t>
      </w:r>
      <w:r w:rsidRPr="0043246A">
        <w:t>W randomizowanym badaniu u 95% pacjentów leczonych C. sinensis w dawce 3 g/dzień, stwierdzono regulację stężenia cukru we krwi w porównaniu z osobami leczonymi innymi metodami</w:t>
      </w:r>
      <w:r>
        <w:t>.</w:t>
      </w:r>
    </w:p>
    <w:p w:rsidR="00636184" w:rsidRDefault="0043246A" w:rsidP="00636184">
      <w:r>
        <w:t xml:space="preserve">Cordyceps wykazuje również korzystne działanie przy problemach z potencją. </w:t>
      </w:r>
      <w:r w:rsidR="00636184">
        <w:t xml:space="preserve"> </w:t>
      </w:r>
      <w:r w:rsidR="00636184" w:rsidRPr="005D0B3D">
        <w:t>Substancje</w:t>
      </w:r>
      <w:r w:rsidR="00636184">
        <w:t xml:space="preserve"> w nim </w:t>
      </w:r>
      <w:r w:rsidR="00636184" w:rsidRPr="005D0B3D">
        <w:t>zawarte</w:t>
      </w:r>
      <w:r w:rsidR="00636184">
        <w:t>,</w:t>
      </w:r>
      <w:r w:rsidR="00636184" w:rsidRPr="005D0B3D">
        <w:t xml:space="preserve">  są także bardzo dobrym afrodyzjakiem, dzięki czemu, z powodzeniem stosowane są one przy zaburzeniach popędu seksualnego oraz w problemach</w:t>
      </w:r>
      <w:r w:rsidR="00636184">
        <w:t xml:space="preserve"> z obniżeniem nastroju. </w:t>
      </w:r>
      <w:r w:rsidR="00636184" w:rsidRPr="0043246A">
        <w:t>Popraw</w:t>
      </w:r>
      <w:r w:rsidRPr="0043246A">
        <w:t>i</w:t>
      </w:r>
      <w:r w:rsidR="00636184" w:rsidRPr="0043246A">
        <w:t>a funkcj</w:t>
      </w:r>
      <w:r w:rsidRPr="0043246A">
        <w:t>e</w:t>
      </w:r>
      <w:r w:rsidR="00636184" w:rsidRPr="0043246A">
        <w:t xml:space="preserve"> seksualn</w:t>
      </w:r>
      <w:r w:rsidRPr="0043246A">
        <w:t>e</w:t>
      </w:r>
      <w:r w:rsidR="00636184" w:rsidRPr="0043246A">
        <w:t>. Liczne badania naukowe wykazały, że kordycepina oddziałuje na znajdujące się w jądrach komórki Leydiga, pobudzając je do wytwarzania testosteronu. Inne substancje zawarte w maczużniku wpływa na wydzielanie tlenku azotu i rozluźnienie mięśni gładkich naczyń krwionośnych, co skutkuje rozszerzeniem tętnic i napływem krwi do ciał jamistych członka. Jest to mechanizm podobny do działania sildenafilu</w:t>
      </w:r>
      <w:r>
        <w:t xml:space="preserve"> (podstawowego składnika Viagry)</w:t>
      </w:r>
      <w:r w:rsidR="00636184" w:rsidRPr="0043246A">
        <w:t>, najpopularniejszego środka wspomagającego erekcję.</w:t>
      </w:r>
      <w:r w:rsidR="00C25117" w:rsidRPr="0043246A">
        <w:t xml:space="preserve"> </w:t>
      </w:r>
    </w:p>
    <w:p w:rsidR="0043246A" w:rsidRDefault="0043246A" w:rsidP="00636184">
      <w:r>
        <w:t xml:space="preserve">Prowadzone są również badania nad pozytywnym wpływem Codycepsu w przypadku </w:t>
      </w:r>
      <w:r w:rsidRPr="005D0B3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hipercholesterolemii</w:t>
      </w:r>
      <w:r w:rsidR="009D539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</w:p>
    <w:p w:rsidR="0043246A" w:rsidRDefault="0043246A" w:rsidP="00636184">
      <w:r>
        <w:t>Cordyceps jest bezpieczny w stosowaniu. W badaniu przedklinicznym na królikach nie stwierdzono działania toksycznego, zastosowana dawka to 80g/kg/ dzień przez 3 miesiące</w:t>
      </w:r>
    </w:p>
    <w:p w:rsidR="00636184" w:rsidRDefault="009D5390" w:rsidP="00636184">
      <w:r>
        <w:lastRenderedPageBreak/>
        <w:t xml:space="preserve">Aby zwiększyć efekt Cordycepu można stosować go w połączeniu z innymi preparatami w celu uzyskania konkretnego celu. </w:t>
      </w:r>
    </w:p>
    <w:p w:rsidR="003B3744" w:rsidRDefault="003B3744" w:rsidP="003B3744">
      <w:r>
        <w:t xml:space="preserve">Najczęściej stosowaną dzienną dawką </w:t>
      </w:r>
      <w:r w:rsidR="00F116FD">
        <w:t>Cordycepsu</w:t>
      </w:r>
      <w:r>
        <w:t xml:space="preserve"> jest od 500 do 1000 mg ekstraktu zawierającego min. 30% polisacharydów. Zaleca się rozpoczynanie od najmniejszych skutecznych dawek, a w razie potrzeby – stopniowe ich zwiększanie. Dziennie nie należy przyjmować więcej niż 3000 mg.</w:t>
      </w:r>
    </w:p>
    <w:p w:rsidR="003B3744" w:rsidRDefault="003B3744" w:rsidP="003B3744">
      <w:r>
        <w:t>Cordyceps można przyjmować zarówno przed jak i po posiłku</w:t>
      </w:r>
    </w:p>
    <w:p w:rsidR="00636184" w:rsidRDefault="00636184" w:rsidP="00636184">
      <w:r>
        <w:t>Zwiększenie wydolności fizycznej:</w:t>
      </w:r>
    </w:p>
    <w:p w:rsidR="00636184" w:rsidRDefault="00636184" w:rsidP="00636184">
      <w:r>
        <w:t>Różeniec (Rhodiola rosea)</w:t>
      </w:r>
      <w:bookmarkStart w:id="0" w:name="_GoBack"/>
      <w:bookmarkEnd w:id="0"/>
    </w:p>
    <w:p w:rsidR="00636184" w:rsidRDefault="00636184" w:rsidP="00636184">
      <w:r>
        <w:t>Eleuthero (Eleutherococcus senticosus)</w:t>
      </w:r>
    </w:p>
    <w:p w:rsidR="009D5390" w:rsidRDefault="009D5390" w:rsidP="00636184"/>
    <w:p w:rsidR="00636184" w:rsidRDefault="00636184" w:rsidP="00636184">
      <w:r>
        <w:t>Poprawa funkcji seksualnych:</w:t>
      </w:r>
    </w:p>
    <w:p w:rsidR="00636184" w:rsidRDefault="00636184" w:rsidP="00636184">
      <w:r>
        <w:t>Maca (Lepidium meyenii)</w:t>
      </w:r>
    </w:p>
    <w:p w:rsidR="00636184" w:rsidRDefault="00636184" w:rsidP="00636184">
      <w:r>
        <w:t>Horny Goat Weed (Epimedium sp.)</w:t>
      </w:r>
    </w:p>
    <w:p w:rsidR="009D5390" w:rsidRDefault="009D5390" w:rsidP="00636184"/>
    <w:p w:rsidR="00636184" w:rsidRDefault="00636184" w:rsidP="00636184">
      <w:r>
        <w:t>Stymulacja układu odpornościowego:</w:t>
      </w:r>
    </w:p>
    <w:p w:rsidR="00636184" w:rsidRDefault="00636184" w:rsidP="00636184">
      <w:r>
        <w:t>Traganek (Astragalus membranoceus)</w:t>
      </w:r>
    </w:p>
    <w:p w:rsidR="00636184" w:rsidRDefault="00636184" w:rsidP="00636184">
      <w:r>
        <w:t>Eleuthero (Eleutherococcus senticosus)</w:t>
      </w:r>
    </w:p>
    <w:p w:rsidR="009D5390" w:rsidRDefault="009D5390" w:rsidP="00636184"/>
    <w:p w:rsidR="00636184" w:rsidRDefault="00636184" w:rsidP="00636184">
      <w:r>
        <w:t>Regulacja poziomu glukozy we krwi:</w:t>
      </w:r>
    </w:p>
    <w:p w:rsidR="00636184" w:rsidRDefault="00636184" w:rsidP="00636184">
      <w:r>
        <w:t>Żeń-szeń (Panax ginseng)</w:t>
      </w:r>
    </w:p>
    <w:p w:rsidR="00636184" w:rsidRDefault="00636184" w:rsidP="00636184">
      <w:r>
        <w:t>Jiaogulan (Gynostemma pentaphyllum)</w:t>
      </w:r>
    </w:p>
    <w:p w:rsidR="00623EC5" w:rsidRPr="009D5390" w:rsidRDefault="009D5390">
      <w:r w:rsidRPr="009D5390">
        <w:t>Literatura:</w:t>
      </w:r>
    </w:p>
    <w:p w:rsidR="009D5390" w:rsidRPr="009D5390" w:rsidRDefault="009D5390">
      <w:pPr>
        <w:rPr>
          <w:rFonts w:eastAsia="Times New Roman" w:cs="Arial"/>
          <w:b/>
          <w:bCs/>
          <w:sz w:val="17"/>
          <w:szCs w:val="17"/>
          <w:bdr w:val="single" w:sz="2" w:space="0" w:color="auto" w:frame="1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Jordan JL, Sullivan AM, Lee TD. Immune activation by a sterile aqueous extract of </w:t>
      </w:r>
      <w:r w:rsidRPr="009D5390">
        <w:rPr>
          <w:rFonts w:eastAsia="Times New Roman" w:cs="Arial"/>
          <w:sz w:val="17"/>
          <w:szCs w:val="17"/>
          <w:lang w:eastAsia="pl-PL"/>
        </w:rPr>
        <w:t>Cordyceps sinensis</w:t>
      </w:r>
      <w:r>
        <w:rPr>
          <w:rFonts w:eastAsia="Times New Roman" w:cs="Arial"/>
          <w:sz w:val="17"/>
          <w:szCs w:val="17"/>
          <w:lang w:eastAsia="pl-PL"/>
        </w:rPr>
        <w:t>;</w:t>
      </w:r>
      <w:r w:rsidRPr="009D5390">
        <w:rPr>
          <w:rFonts w:eastAsia="Times New Roman" w:cs="Arial"/>
          <w:sz w:val="17"/>
          <w:szCs w:val="17"/>
          <w:lang w:eastAsia="pl-PL"/>
        </w:rPr>
        <w:t>mechanism of action. Immunopharmacol Immunotoxicol 2008; 30(1):53-70. </w:t>
      </w:r>
    </w:p>
    <w:p w:rsidR="009D5390" w:rsidRPr="009D5390" w:rsidRDefault="009D5390">
      <w:pPr>
        <w:rPr>
          <w:rFonts w:eastAsia="Times New Roman" w:cs="Arial"/>
          <w:sz w:val="17"/>
          <w:szCs w:val="17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Jubinsky PT, Dickens DS, Short MK. New roles for mononuclear phagocytes in cancer biology. J Pediatr Hematol Oncol 2008; 30:584-91.</w:t>
      </w:r>
    </w:p>
    <w:p w:rsidR="009D5390" w:rsidRPr="009D5390" w:rsidRDefault="009D5390">
      <w:pPr>
        <w:rPr>
          <w:rFonts w:eastAsia="Times New Roman" w:cs="Arial"/>
          <w:sz w:val="17"/>
          <w:szCs w:val="17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Jordan JL, Nowak A, Lee TDG. Activation of innate immunity to reduce lung metastases in breast cancer. Cancer Immunol Immunother 2010; 59(5):789-97. </w:t>
      </w:r>
    </w:p>
    <w:p w:rsidR="009D5390" w:rsidRPr="009D5390" w:rsidRDefault="009D5390">
      <w:pPr>
        <w:rPr>
          <w:rFonts w:eastAsia="Times New Roman" w:cs="Arial"/>
          <w:b/>
          <w:bCs/>
          <w:sz w:val="17"/>
          <w:szCs w:val="17"/>
          <w:bdr w:val="single" w:sz="2" w:space="0" w:color="auto" w:frame="1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Wong YY, Moon A, Duffin RJ. Cordycepin inhibits protein synthesis and cell adhesion through effects on signal transduction. Biol Chem 2010; 285(4):2610-21. </w:t>
      </w:r>
      <w:bookmarkStart w:id="1" w:name="_Hlk499805683"/>
    </w:p>
    <w:p w:rsidR="009D5390" w:rsidRPr="009D5390" w:rsidRDefault="009D5390">
      <w:pPr>
        <w:rPr>
          <w:rFonts w:eastAsia="Times New Roman" w:cs="Arial"/>
          <w:sz w:val="17"/>
          <w:szCs w:val="17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Ohana G, Bar-Yehuda S, Barer F i wsp.</w:t>
      </w:r>
      <w:bookmarkEnd w:id="1"/>
      <w:r w:rsidRPr="009D5390">
        <w:rPr>
          <w:rFonts w:eastAsia="Times New Roman" w:cs="Arial"/>
          <w:sz w:val="17"/>
          <w:szCs w:val="17"/>
          <w:lang w:eastAsia="pl-PL"/>
        </w:rPr>
        <w:t xml:space="preserve"> Differential effect of adenosine on tumor and normal cell growth: Focus on the A3 adenosine receptor. J Cell Physiol 2001; 186(1):19-23. </w:t>
      </w:r>
    </w:p>
    <w:p w:rsidR="009D5390" w:rsidRPr="009D5390" w:rsidRDefault="009D5390">
      <w:pPr>
        <w:rPr>
          <w:rFonts w:eastAsia="Times New Roman" w:cs="Arial"/>
          <w:sz w:val="17"/>
          <w:szCs w:val="17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Holliday J, Cleaver M. On the trail of the yak ancient cordyceps in the modern world. 2004 (www.heartfeltmedicine.com) </w:t>
      </w:r>
    </w:p>
    <w:p w:rsidR="009D5390" w:rsidRPr="009D5390" w:rsidRDefault="009D5390">
      <w:pPr>
        <w:rPr>
          <w:rFonts w:eastAsia="Times New Roman" w:cs="Arial"/>
          <w:sz w:val="17"/>
          <w:szCs w:val="17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Nishizawa K i wsp. Antidepressant-like effect of</w:t>
      </w:r>
      <w:r>
        <w:rPr>
          <w:rFonts w:eastAsia="Times New Roman" w:cs="Arial"/>
          <w:sz w:val="17"/>
          <w:szCs w:val="17"/>
          <w:lang w:eastAsia="pl-PL"/>
        </w:rPr>
        <w:t xml:space="preserve"> </w:t>
      </w:r>
    </w:p>
    <w:p w:rsidR="009D5390" w:rsidRPr="009D5390" w:rsidRDefault="009D5390">
      <w:pPr>
        <w:rPr>
          <w:rFonts w:eastAsia="Times New Roman" w:cs="Arial"/>
          <w:b/>
          <w:bCs/>
          <w:sz w:val="17"/>
          <w:szCs w:val="17"/>
          <w:bdr w:val="single" w:sz="2" w:space="0" w:color="auto" w:frame="1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Cordyceps sinensis  in the mouse tail suspension test. Biol Pharm Bull 2007; 30(9):1758-62. </w:t>
      </w:r>
    </w:p>
    <w:p w:rsidR="009D5390" w:rsidRPr="009D5390" w:rsidRDefault="009D5390">
      <w:pPr>
        <w:rPr>
          <w:rFonts w:eastAsia="Times New Roman" w:cs="Arial"/>
          <w:b/>
          <w:bCs/>
          <w:sz w:val="17"/>
          <w:szCs w:val="17"/>
          <w:bdr w:val="single" w:sz="2" w:space="0" w:color="auto" w:frame="1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Receptory, struktura, funkcja (red. Nowak J). PWN 1997; 211-223. </w:t>
      </w:r>
    </w:p>
    <w:p w:rsidR="009D5390" w:rsidRPr="009D5390" w:rsidRDefault="009D5390">
      <w:pPr>
        <w:rPr>
          <w:rFonts w:eastAsia="Times New Roman" w:cs="Arial"/>
          <w:sz w:val="17"/>
          <w:szCs w:val="17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lastRenderedPageBreak/>
        <w:t>Huang Y, Lu J, Zhu B i wsp. Toxicity study of fermentation</w:t>
      </w:r>
      <w:r>
        <w:rPr>
          <w:rFonts w:eastAsia="Times New Roman" w:cs="Arial"/>
          <w:sz w:val="17"/>
          <w:szCs w:val="17"/>
          <w:lang w:eastAsia="pl-PL"/>
        </w:rPr>
        <w:t xml:space="preserve"> </w:t>
      </w:r>
      <w:r w:rsidRPr="009D5390">
        <w:rPr>
          <w:rFonts w:eastAsia="Times New Roman" w:cs="Arial"/>
          <w:sz w:val="17"/>
          <w:szCs w:val="17"/>
          <w:lang w:eastAsia="pl-PL"/>
        </w:rPr>
        <w:t>Cordyceps mycelia</w:t>
      </w:r>
      <w:r w:rsidRPr="009D5390">
        <w:rPr>
          <w:rFonts w:eastAsia="Times New Roman" w:cs="Arial"/>
          <w:sz w:val="17"/>
          <w:szCs w:val="17"/>
          <w:lang w:eastAsia="pl-PL"/>
        </w:rPr>
        <w:t> </w:t>
      </w:r>
      <w:r w:rsidRPr="009D5390">
        <w:rPr>
          <w:rFonts w:eastAsia="Times New Roman" w:cs="Arial"/>
          <w:sz w:val="17"/>
          <w:szCs w:val="17"/>
          <w:lang w:eastAsia="pl-PL"/>
        </w:rPr>
        <w:t xml:space="preserve"> </w:t>
      </w:r>
      <w:r w:rsidRPr="009D5390">
        <w:rPr>
          <w:rFonts w:eastAsia="Times New Roman" w:cs="Arial"/>
          <w:sz w:val="17"/>
          <w:szCs w:val="17"/>
          <w:lang w:eastAsia="pl-PL"/>
        </w:rPr>
        <w:t>B414. Zhongchengyao Yanjiu 1987; 10:24-25</w:t>
      </w:r>
    </w:p>
    <w:p w:rsidR="009D5390" w:rsidRPr="009D5390" w:rsidRDefault="009D5390">
      <w:pPr>
        <w:rPr>
          <w:rFonts w:eastAsia="Times New Roman" w:cs="Arial"/>
          <w:sz w:val="17"/>
          <w:szCs w:val="17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Das SK, Masuda M, Sakurai A. Medicinal uses of the mushroom</w:t>
      </w:r>
      <w:r>
        <w:rPr>
          <w:rFonts w:eastAsia="Times New Roman" w:cs="Arial"/>
          <w:sz w:val="17"/>
          <w:szCs w:val="17"/>
          <w:lang w:eastAsia="pl-PL"/>
        </w:rPr>
        <w:t xml:space="preserve"> </w:t>
      </w:r>
      <w:r w:rsidRPr="009D5390">
        <w:rPr>
          <w:rFonts w:eastAsia="Times New Roman" w:cs="Arial"/>
          <w:sz w:val="17"/>
          <w:szCs w:val="17"/>
          <w:lang w:eastAsia="pl-PL"/>
        </w:rPr>
        <w:t>Cordyceps militaris</w:t>
      </w:r>
      <w:r w:rsidRPr="009D5390">
        <w:rPr>
          <w:rFonts w:eastAsia="Times New Roman" w:cs="Arial"/>
          <w:sz w:val="17"/>
          <w:szCs w:val="17"/>
          <w:lang w:eastAsia="pl-PL"/>
        </w:rPr>
        <w:t>  Current state and prospects. Fitoterapia 2010; 81:961-68</w:t>
      </w:r>
    </w:p>
    <w:p w:rsidR="009D5390" w:rsidRPr="009D5390" w:rsidRDefault="009D5390">
      <w:pPr>
        <w:rPr>
          <w:rFonts w:eastAsia="Times New Roman" w:cs="Arial"/>
          <w:b/>
          <w:bCs/>
          <w:sz w:val="17"/>
          <w:szCs w:val="17"/>
          <w:bdr w:val="single" w:sz="2" w:space="0" w:color="auto" w:frame="1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>Kiho T i wsp. Hypoglycemic activity of a polysaccharide (CS-F30) from the cultural mycelium of Cordyceps sinensis and its effect on glucose metabolism in mouse liver. Biol Pharm Bull 1996; 19(2):294-96. </w:t>
      </w:r>
    </w:p>
    <w:p w:rsidR="009D5390" w:rsidRPr="009D5390" w:rsidRDefault="009D5390">
      <w:pPr>
        <w:rPr>
          <w:rFonts w:eastAsia="Times New Roman" w:cs="Arial"/>
          <w:sz w:val="17"/>
          <w:szCs w:val="17"/>
          <w:lang w:eastAsia="pl-PL"/>
        </w:rPr>
      </w:pPr>
      <w:r w:rsidRPr="009D5390">
        <w:rPr>
          <w:rFonts w:eastAsia="Times New Roman" w:cs="Arial"/>
          <w:sz w:val="17"/>
          <w:szCs w:val="17"/>
          <w:lang w:eastAsia="pl-PL"/>
        </w:rPr>
        <w:t xml:space="preserve"> </w:t>
      </w:r>
      <w:r w:rsidRPr="009D5390">
        <w:rPr>
          <w:rFonts w:eastAsia="Times New Roman" w:cs="Arial"/>
          <w:sz w:val="17"/>
          <w:szCs w:val="17"/>
          <w:lang w:eastAsia="pl-PL"/>
        </w:rPr>
        <w:t>Li SP, Zhang GH, Zeng Q i wsp. Hypoglycemic activity of polysaccharide, with antioxidation, isolated from cultured Cordyceps mycelia. Phytomed 2006; 13(6):422</w:t>
      </w:r>
    </w:p>
    <w:p w:rsidR="009D5390" w:rsidRPr="009D5390" w:rsidRDefault="009D5390">
      <w:r w:rsidRPr="009D5390">
        <w:t>E.Karpińska, Biostimulating actvitiy of entomopathogenic fungi of the genus Cordyceps; Post</w:t>
      </w:r>
      <w:r w:rsidRPr="009D5390">
        <w:rPr>
          <w:rFonts w:cs="Tahoma"/>
        </w:rPr>
        <w:t>ę</w:t>
      </w:r>
      <w:r w:rsidRPr="009D5390">
        <w:t>py Fitoterapii 4/2011, s. 254-264</w:t>
      </w:r>
    </w:p>
    <w:sectPr w:rsidR="009D5390" w:rsidRPr="009D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184"/>
    <w:rsid w:val="001A0B4D"/>
    <w:rsid w:val="0021100C"/>
    <w:rsid w:val="003B3744"/>
    <w:rsid w:val="003F3568"/>
    <w:rsid w:val="0043246A"/>
    <w:rsid w:val="004A2597"/>
    <w:rsid w:val="004D648D"/>
    <w:rsid w:val="005A431A"/>
    <w:rsid w:val="005C5811"/>
    <w:rsid w:val="00623EC5"/>
    <w:rsid w:val="00636184"/>
    <w:rsid w:val="0067226B"/>
    <w:rsid w:val="00681C97"/>
    <w:rsid w:val="008D3C56"/>
    <w:rsid w:val="008D6DE0"/>
    <w:rsid w:val="0095573F"/>
    <w:rsid w:val="009D5390"/>
    <w:rsid w:val="00B8158D"/>
    <w:rsid w:val="00C25117"/>
    <w:rsid w:val="00D16E10"/>
    <w:rsid w:val="00F116FD"/>
    <w:rsid w:val="00F1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4C17"/>
  <w15:chartTrackingRefBased/>
  <w15:docId w15:val="{1B24E837-6996-4086-8759-74C534F2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6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4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5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58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58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5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5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4</Pages>
  <Words>1448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Duszyńska</dc:creator>
  <cp:keywords/>
  <dc:description/>
  <cp:lastModifiedBy>Małgorzata Duszyńska</cp:lastModifiedBy>
  <cp:revision>2</cp:revision>
  <cp:lastPrinted>2017-11-29T10:30:00Z</cp:lastPrinted>
  <dcterms:created xsi:type="dcterms:W3CDTF">2017-11-29T08:37:00Z</dcterms:created>
  <dcterms:modified xsi:type="dcterms:W3CDTF">2017-11-30T11:19:00Z</dcterms:modified>
</cp:coreProperties>
</file>